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91.0" w:type="dxa"/>
        <w:jc w:val="center"/>
        <w:tblLayout w:type="fixed"/>
        <w:tblLook w:val="0400"/>
      </w:tblPr>
      <w:tblGrid>
        <w:gridCol w:w="3794"/>
        <w:gridCol w:w="5097"/>
        <w:tblGridChange w:id="0">
          <w:tblGrid>
            <w:gridCol w:w="3794"/>
            <w:gridCol w:w="5097"/>
          </w:tblGrid>
        </w:tblGridChange>
      </w:tblGrid>
      <w:tr>
        <w:trPr>
          <w:cantSplit w:val="0"/>
          <w:tblHeader w:val="0"/>
        </w:trPr>
        <w:tc>
          <w:tcPr>
            <w:gridSpan w:val="2"/>
            <w:vAlign w:val="center"/>
          </w:tcPr>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HRVATSKI ZAVOD ZA ZAPOŠLJAVANJE </w:t>
            </w:r>
          </w:p>
        </w:tc>
      </w:tr>
      <w:tr>
        <w:trPr>
          <w:cantSplit w:val="0"/>
          <w:tblHeader w:val="0"/>
        </w:trPr>
        <w:tc>
          <w:tcPr>
            <w:gridSpan w:val="2"/>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PODRUČNA SLUŽBA ZAGREB </w:t>
            </w:r>
          </w:p>
        </w:tc>
      </w:tr>
      <w:tr>
        <w:trPr>
          <w:cantSplit w:val="0"/>
          <w:tblHeader w:val="0"/>
        </w:trPr>
        <w:tc>
          <w:tcPr>
            <w:gridSpan w:val="2"/>
            <w:vAlign w:val="center"/>
          </w:tcPr>
          <w:p w:rsidR="00000000" w:rsidDel="00000000" w:rsidP="00000000" w:rsidRDefault="00000000" w:rsidRPr="00000000" w14:paraId="00000006">
            <w:pPr>
              <w:rPr>
                <w:rFonts w:ascii="Arial" w:cs="Arial" w:eastAsia="Arial" w:hAnsi="Arial"/>
              </w:rPr>
            </w:pPr>
            <w:hyperlink r:id="rId6">
              <w:r w:rsidDel="00000000" w:rsidR="00000000" w:rsidRPr="00000000">
                <w:rPr>
                  <w:rFonts w:ascii="Arial" w:cs="Arial" w:eastAsia="Arial" w:hAnsi="Arial"/>
                  <w:color w:val="0000ff"/>
                  <w:u w:val="single"/>
                  <w:rtl w:val="0"/>
                </w:rPr>
                <w:t xml:space="preserve">www.hzz.hr</w:t>
              </w:r>
            </w:hyperlink>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gridSpan w:val="2"/>
            <w:vAlign w:val="center"/>
          </w:tcPr>
          <w:p w:rsidR="00000000" w:rsidDel="00000000" w:rsidP="00000000" w:rsidRDefault="00000000" w:rsidRPr="00000000" w14:paraId="00000018">
            <w:pPr>
              <w:jc w:val="right"/>
              <w:rPr>
                <w:rFonts w:ascii="Arial" w:cs="Arial" w:eastAsia="Arial" w:hAnsi="Arial"/>
              </w:rPr>
            </w:pPr>
            <w:r w:rsidDel="00000000" w:rsidR="00000000" w:rsidRPr="00000000">
              <w:rPr>
                <w:rFonts w:ascii="Arial" w:cs="Arial" w:eastAsia="Arial" w:hAnsi="Arial"/>
                <w:rtl w:val="0"/>
              </w:rPr>
              <w:t xml:space="preserve">OSNOVNA ŠKOLA KRALJA TOMISLAVA </w:t>
            </w:r>
          </w:p>
        </w:tc>
      </w:tr>
      <w:tr>
        <w:trPr>
          <w:cantSplit w:val="0"/>
          <w:tblHeader w:val="0"/>
        </w:trPr>
        <w:tc>
          <w:tcPr>
            <w:gridSpan w:val="2"/>
            <w:vAlign w:val="center"/>
          </w:tcPr>
          <w:p w:rsidR="00000000" w:rsidDel="00000000" w:rsidP="00000000" w:rsidRDefault="00000000" w:rsidRPr="00000000" w14:paraId="0000001A">
            <w:pPr>
              <w:jc w:val="right"/>
              <w:rPr>
                <w:rFonts w:ascii="Arial" w:cs="Arial" w:eastAsia="Arial" w:hAnsi="Arial"/>
              </w:rPr>
            </w:pPr>
            <w:r w:rsidDel="00000000" w:rsidR="00000000" w:rsidRPr="00000000">
              <w:rPr>
                <w:rFonts w:ascii="Arial" w:cs="Arial" w:eastAsia="Arial" w:hAnsi="Arial"/>
                <w:rtl w:val="0"/>
              </w:rPr>
              <w:t xml:space="preserve">NOVA CESTA 92 </w:t>
            </w:r>
          </w:p>
        </w:tc>
      </w:tr>
      <w:tr>
        <w:trPr>
          <w:cantSplit w:val="0"/>
          <w:tblHeader w:val="0"/>
        </w:trPr>
        <w:tc>
          <w:tcPr>
            <w:gridSpan w:val="2"/>
            <w:vAlign w:val="center"/>
          </w:tcPr>
          <w:p w:rsidR="00000000" w:rsidDel="00000000" w:rsidP="00000000" w:rsidRDefault="00000000" w:rsidRPr="00000000" w14:paraId="0000001C">
            <w:pPr>
              <w:jc w:val="right"/>
              <w:rPr>
                <w:rFonts w:ascii="Arial" w:cs="Arial" w:eastAsia="Arial" w:hAnsi="Arial"/>
              </w:rPr>
            </w:pPr>
            <w:r w:rsidDel="00000000" w:rsidR="00000000" w:rsidRPr="00000000">
              <w:rPr>
                <w:rFonts w:ascii="Arial" w:cs="Arial" w:eastAsia="Arial" w:hAnsi="Arial"/>
                <w:rtl w:val="0"/>
              </w:rPr>
              <w:t xml:space="preserve">10000 ZAGREB </w:t>
            </w:r>
          </w:p>
        </w:tc>
      </w:tr>
      <w:tr>
        <w:trPr>
          <w:cantSplit w:val="0"/>
          <w:tblHeader w:val="0"/>
        </w:trPr>
        <w:tc>
          <w:tcPr>
            <w:gridSpan w:val="2"/>
            <w:tcMar>
              <w:top w:w="150.0" w:type="dxa"/>
              <w:left w:w="15.0" w:type="dxa"/>
              <w:bottom w:w="150.0" w:type="dxa"/>
              <w:right w:w="15.0" w:type="dxa"/>
            </w:tcMar>
            <w:vAlign w:val="center"/>
          </w:tcPr>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b w:val="1"/>
                <w:sz w:val="28"/>
                <w:szCs w:val="28"/>
                <w:rtl w:val="0"/>
              </w:rPr>
              <w:t xml:space="preserve">POTREBE ZA RADNICIMA</w:t>
            </w:r>
            <w:r w:rsidDel="00000000" w:rsidR="00000000" w:rsidRPr="00000000">
              <w:rPr>
                <w:rFonts w:ascii="Arial" w:cs="Arial" w:eastAsia="Arial" w:hAnsi="Arial"/>
                <w:rtl w:val="0"/>
              </w:rPr>
              <w:t xml:space="preserve"> </w:t>
            </w:r>
          </w:p>
        </w:tc>
      </w:tr>
      <w:tr>
        <w:trPr>
          <w:cantSplit w:val="0"/>
          <w:tblHeader w:val="0"/>
        </w:trPr>
        <w:tc>
          <w:tcPr>
            <w:vAlign w:val="center"/>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Broj biltena: </w:t>
            </w:r>
            <w:r w:rsidDel="00000000" w:rsidR="00000000" w:rsidRPr="00000000">
              <w:rPr>
                <w:rFonts w:ascii="Arial" w:cs="Arial" w:eastAsia="Arial" w:hAnsi="Arial"/>
                <w:b w:val="1"/>
                <w:rtl w:val="0"/>
              </w:rPr>
              <w:t xml:space="preserve">205</w:t>
            </w:r>
            <w:r w:rsidDel="00000000" w:rsidR="00000000" w:rsidRPr="00000000">
              <w:rPr>
                <w:rFonts w:ascii="Arial" w:cs="Arial" w:eastAsia="Arial" w:hAnsi="Arial"/>
                <w:rtl w:val="0"/>
              </w:rPr>
              <w:t xml:space="preserve"> </w:t>
            </w:r>
          </w:p>
        </w:tc>
        <w:tc>
          <w:tcPr>
            <w:vAlign w:val="center"/>
          </w:tcPr>
          <w:p w:rsidR="00000000" w:rsidDel="00000000" w:rsidP="00000000" w:rsidRDefault="00000000" w:rsidRPr="00000000" w14:paraId="00000021">
            <w:pPr>
              <w:jc w:val="right"/>
              <w:rPr>
                <w:rFonts w:ascii="Arial" w:cs="Arial" w:eastAsia="Arial" w:hAnsi="Arial"/>
              </w:rPr>
            </w:pPr>
            <w:r w:rsidDel="00000000" w:rsidR="00000000" w:rsidRPr="00000000">
              <w:rPr>
                <w:rFonts w:ascii="Arial" w:cs="Arial" w:eastAsia="Arial" w:hAnsi="Arial"/>
                <w:b w:val="1"/>
                <w:rtl w:val="0"/>
              </w:rPr>
              <w:t xml:space="preserve">ZAGREB, 22.10.2024</w:t>
            </w:r>
            <w:r w:rsidDel="00000000" w:rsidR="00000000" w:rsidRPr="00000000">
              <w:rPr>
                <w:rFonts w:ascii="Arial" w:cs="Arial" w:eastAsia="Arial" w:hAnsi="Arial"/>
                <w:rtl w:val="0"/>
              </w:rPr>
              <w:t xml:space="preserve"> </w:t>
            </w:r>
          </w:p>
        </w:tc>
      </w:tr>
    </w:tbl>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b w:val="1"/>
          <w:sz w:val="28"/>
          <w:szCs w:val="28"/>
          <w:rtl w:val="0"/>
        </w:rPr>
        <w:t xml:space="preserve">POMOĆNIK/CA U NASTAVI</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Radno mjesto</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Broj: 2585720 </w:t>
      </w:r>
    </w:p>
    <w:p w:rsidR="00000000" w:rsidDel="00000000" w:rsidP="00000000" w:rsidRDefault="00000000" w:rsidRPr="00000000" w14:paraId="00000026">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Mjesto rada: ZAGREB </w:t>
      </w:r>
    </w:p>
    <w:p w:rsidR="00000000" w:rsidDel="00000000" w:rsidP="00000000" w:rsidRDefault="00000000" w:rsidRPr="00000000" w14:paraId="00000028">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Broj traženih radnika: 1 </w:t>
      </w:r>
    </w:p>
    <w:p w:rsidR="00000000" w:rsidDel="00000000" w:rsidP="00000000" w:rsidRDefault="00000000" w:rsidRPr="00000000" w14:paraId="0000002A">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Vrsta zaposlenja: Na određeno; zamjena </w:t>
      </w:r>
    </w:p>
    <w:p w:rsidR="00000000" w:rsidDel="00000000" w:rsidP="00000000" w:rsidRDefault="00000000" w:rsidRPr="00000000" w14:paraId="0000002C">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Radno vrijeme: 35 sati tjedno </w:t>
      </w:r>
    </w:p>
    <w:p w:rsidR="00000000" w:rsidDel="00000000" w:rsidP="00000000" w:rsidRDefault="00000000" w:rsidRPr="00000000" w14:paraId="0000002E">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Smještaj: Nema smještaja </w:t>
      </w:r>
    </w:p>
    <w:p w:rsidR="00000000" w:rsidDel="00000000" w:rsidP="00000000" w:rsidRDefault="00000000" w:rsidRPr="00000000" w14:paraId="00000030">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Naknada za prijevoz: U cijelosti </w:t>
      </w:r>
    </w:p>
    <w:p w:rsidR="00000000" w:rsidDel="00000000" w:rsidP="00000000" w:rsidRDefault="00000000" w:rsidRPr="00000000" w14:paraId="00000032">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Natječaj vrijedi od: 22.10.2024 </w:t>
      </w:r>
    </w:p>
    <w:p w:rsidR="00000000" w:rsidDel="00000000" w:rsidP="00000000" w:rsidRDefault="00000000" w:rsidRPr="00000000" w14:paraId="00000034">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Natječaj vrijedi do: 25.10.2024 </w:t>
      </w:r>
    </w:p>
    <w:p w:rsidR="00000000" w:rsidDel="00000000" w:rsidP="00000000" w:rsidRDefault="00000000" w:rsidRPr="00000000" w14:paraId="00000036">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30" w:before="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Posloprimac</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Razina obrazovanja: Srednja škola 4 godine </w:t>
      </w:r>
    </w:p>
    <w:p w:rsidR="00000000" w:rsidDel="00000000" w:rsidP="00000000" w:rsidRDefault="00000000" w:rsidRPr="00000000" w14:paraId="0000003A">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Radno iskustvo: Nije važno </w:t>
      </w:r>
    </w:p>
    <w:p w:rsidR="00000000" w:rsidDel="00000000" w:rsidP="00000000" w:rsidRDefault="00000000" w:rsidRPr="00000000" w14:paraId="0000003C">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Ostale informacije: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temelju članka 99. Zakona o odgoju i obrazovanju u osnovnoj i srednjoj školi (Narodne novine 87/08, 86/09, 92/10, 105/10 - ispravak, 90/11, 5/12, 16/12, 86/12, 126/12 - pročišćeni tekst, 94/13, 152/14, 7/17, 68/18, 98/19, 64/20 – Uredba 151/22, 155/23 i 156/23) Osnovna škola kralja Tomislava objavljuje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Javni poziv</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 zapošljavanje osobe za obavljanje poslova pomoćnika u nastavi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 Osnovnoj školi  kralja Tomislava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POMOĆNIK U NASTAVI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Broj traženih osoba: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pomoćnik u nastavi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Vrsta zaposlenja: Na određeno, nepuno radno vrijeme, najdulje do kraja školske godine 2024./2025.</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Radno vrijeme: 35 sati tjedno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Način rada: dvije smjene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Naknada za prijevoz: u cijelosti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Mjesto rada: Osnovna škola kralja Tomislava, Nova cesta 92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UVJETI: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1.završena najmanje razina obrazovanja 4.2. HKO-a</w:t>
        <w:br w:type="textWrapping"/>
        <w:t xml:space="preserve">2.da protiv osobe nije pokrenut kazneni postupak</w:t>
        <w:br w:type="textWrapping"/>
        <w:t xml:space="preserve">3.pomoćnik u nastavi ne smije biti roditelj/skrbnik niti drugi član uže obitelji učenika kojem/kojima se pruža potpora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OPIS POSLOVA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Pomoćnik u nastavi je osoba koja pruža neposrednu potporu učeniku s teškoćama u razvoju tijekom odgojno-obrazovnog procesa. Potpora tijekom odgojno-obrazovnog procesa koju pruža pomoćnik u nastavi može obuhvatiti: potporu u komunikaciji 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DODATNA  ZNANJA I VJEŠTINE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Uvažavanje različitosti, afinitet prema djeci s teškoćama u razvoju, otvorenost, odgovornost, fleksibilnost, razvijene komunikacijske vještine, sklonost individualnom i timskom radu, točnost u izvršavanju poslova, organiziranost i emocionalna stabilnost.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POŽELJNO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•iskustvo u volontiranju</w:t>
        <w:br w:type="textWrapping"/>
        <w:t xml:space="preserve">•iskustvo u neposrednom radu s djecom s teškoćama u razvoju</w:t>
        <w:br w:type="textWrapping"/>
        <w:t xml:space="preserve">•završena edukacija za posao pomoćnika u nastavi u minimalnom trajanju od 20 sati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Odabir će se izvršiti  uz pomoć stručnih metoda procjene kompetencija i osobina podnositelja zahtjeva.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Kandidat je prilikom prijavljivanja dužan dostaviti sljedeće dokumente: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•zamolbu za posao (vlastoručno potpisanu, navesti datum i mjesto rođenja, adresu stanovanja, broj mobitela i adresu elektroničke pošte)</w:t>
        <w:br w:type="textWrapping"/>
        <w:t xml:space="preserve">•životopis (ukoliko postoji iskustvo u volonterskom radu potrebno je navesti: naziv institucije/udruge/tvrtke gdje je ono ostvareno, njegovo trajanje  ili navesti iskustvo u radu s djecom, poznavanje stranog/ih jezika i sl.),</w:t>
        <w:br w:type="textWrapping"/>
        <w:t xml:space="preserve">•dokaz o odgovarajućem stupnju obrazovanja (presliku diplome ili potvrdu o stečenoj stručnoj spremi),</w:t>
        <w:br w:type="textWrapping"/>
        <w:t xml:space="preserve">•dokaz nadležnog suda da se protiv kandidata ne vodi kazneni postupak za neko od kaznenih djela iz članka 106. Zakona o odgoju i obrazovanju u osnovnoj i srednjoj školi (ne starije od 6 mjeseci od dana objave Javnog poziva),</w:t>
        <w:br w:type="textWrapping"/>
        <w:t xml:space="preserve">•uvjerenje o položenoj edukaciji za posao pomoćnika u nastavi (ako je osoba posjeduje).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Osoba koja može ostvariti pravo prednosti: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https://branitelji.gov.hr/zaposljavanje-843/843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Informacije o dokazima potrebnim za ostvarivanje prava prednosti pri zapošljavanju nalaze se na poveznici: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https://branitelji.gov.hr/UserDocsImages//NG/12%20Prosinac/Zapo%C5%A1ljavanje//POPIS%20DOKAZA%20ZA%20OSTVARIVANJE%20PRAVA%20PRI%20ZAPO%C5%A0LJAVANJU.pdf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https://branitelji.gov.hr/UserDocsImages//dokumenti/Nikola//popis%20dokaza%20za%20ostvarivanje%20prava%20prednosti%20pri%20zapo%C5%A1ljavanju-%20Zakon%20o%20civilnim%20stradalnicima%20iz%20DR.pdf</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Pisane prijave s dokazima o ispunjavanju uvjeta iz Javnog poziva podnose se od 22.10.2024. godine putem elektroničke pošte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ured@os-kraljatomislava-zg.skole.hr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Nepravodobne i nepotpune prijave neće se razmatrati.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Javni poziv bit će objavljen 22.10.2024. godine na mrežnoj stranici Hrvatskog zavoda za zapošljavanje i otvoren do 25.10.2024. godine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Radni odnos sa školom zasnovat će se nakon provedenog postupka selekcije kandidata.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kandidatom izabranim za pomoćnika u nastavi, OŠ kralja Tomislava sklopit će pisani ugovor o radu u kojemu će biti utvrđeni poslovi, trajanje, tjedno zaduženje te međusobna prava, obveze i odgovornosti ugovornih strana.</w:t>
      </w:r>
    </w:p>
    <w:p w:rsidR="00000000" w:rsidDel="00000000" w:rsidP="00000000" w:rsidRDefault="00000000" w:rsidRPr="00000000" w14:paraId="00000064">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spacing w:after="30" w:before="3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Poslodavac</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Poslodavac: Osnovna škola kralja Tomislava </w:t>
      </w:r>
    </w:p>
    <w:p w:rsidR="00000000" w:rsidDel="00000000" w:rsidP="00000000" w:rsidRDefault="00000000" w:rsidRPr="00000000" w14:paraId="00000068">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after="30" w:before="3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Kontakt: </w:t>
      </w:r>
    </w:p>
    <w:p w:rsidR="00000000" w:rsidDel="00000000" w:rsidP="00000000" w:rsidRDefault="00000000" w:rsidRPr="00000000" w14:paraId="0000006A">
      <w:pPr>
        <w:numPr>
          <w:ilvl w:val="0"/>
          <w:numId w:val="1"/>
        </w:numPr>
        <w:spacing w:after="280" w:before="280" w:lineRule="auto"/>
        <w:ind w:left="720" w:hanging="360"/>
        <w:rPr/>
      </w:pPr>
      <w:r w:rsidDel="00000000" w:rsidR="00000000" w:rsidRPr="00000000">
        <w:rPr>
          <w:rFonts w:ascii="Arial" w:cs="Arial" w:eastAsia="Arial" w:hAnsi="Arial"/>
          <w:sz w:val="20"/>
          <w:szCs w:val="20"/>
          <w:rtl w:val="0"/>
        </w:rPr>
        <w:t xml:space="preserve">e-mailom: </w:t>
      </w:r>
      <w:hyperlink r:id="rId11">
        <w:r w:rsidDel="00000000" w:rsidR="00000000" w:rsidRPr="00000000">
          <w:rPr>
            <w:rFonts w:ascii="Arial" w:cs="Arial" w:eastAsia="Arial" w:hAnsi="Arial"/>
            <w:color w:val="0000ff"/>
            <w:sz w:val="20"/>
            <w:szCs w:val="20"/>
            <w:u w:val="single"/>
            <w:rtl w:val="0"/>
          </w:rPr>
          <w:t xml:space="preserve">ured@os-kraljatomislava-zg.skole.hr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B">
      <w:pPr>
        <w:spacing w:after="30" w:before="30" w:lineRule="auto"/>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8891.0" w:type="dxa"/>
        <w:jc w:val="center"/>
        <w:tblLayout w:type="fixed"/>
        <w:tblLook w:val="0400"/>
      </w:tblPr>
      <w:tblGrid>
        <w:gridCol w:w="8891"/>
        <w:tblGridChange w:id="0">
          <w:tblGrid>
            <w:gridCol w:w="8891"/>
          </w:tblGrid>
        </w:tblGridChange>
      </w:tblGrid>
      <w:tr>
        <w:trPr>
          <w:cantSplit w:val="0"/>
          <w:tblHeader w:val="0"/>
        </w:trPr>
        <w:tc>
          <w:tcPr>
            <w:vAlign w:val="center"/>
          </w:tcPr>
          <w:p w:rsidR="00000000" w:rsidDel="00000000" w:rsidP="00000000" w:rsidRDefault="00000000" w:rsidRPr="00000000" w14:paraId="0000006C">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b w:val="1"/>
                <w:rtl w:val="0"/>
              </w:rPr>
              <w:t xml:space="preserve">ZAGREB, 22.10.2024</w:t>
            </w:r>
            <w:r w:rsidDel="00000000" w:rsidR="00000000" w:rsidRPr="00000000">
              <w:rPr>
                <w:rFonts w:ascii="Arial" w:cs="Arial" w:eastAsia="Arial" w:hAnsi="Arial"/>
                <w:rtl w:val="0"/>
              </w:rPr>
              <w:t xml:space="preserve"> </w:t>
            </w:r>
          </w:p>
        </w:tc>
      </w:tr>
    </w:tbl>
    <w:p w:rsidR="00000000" w:rsidDel="00000000" w:rsidP="00000000" w:rsidRDefault="00000000" w:rsidRPr="00000000" w14:paraId="0000006F">
      <w:pPr>
        <w:spacing w:after="30" w:before="30" w:lineRule="auto"/>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ured@os-kraljatomislava-zg.skole.hr" TargetMode="External"/><Relationship Id="rId10" Type="http://schemas.openxmlformats.org/officeDocument/2006/relationships/hyperlink" Target="mailto:ured@os-kraljatomislava-zg.skole.hr" TargetMode="Externa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styles" Target="styles.xml"/><Relationship Id="rId6" Type="http://schemas.openxmlformats.org/officeDocument/2006/relationships/hyperlink" Target="http://www.hzz.hr" TargetMode="External"/><Relationship Id="rId7" Type="http://schemas.openxmlformats.org/officeDocument/2006/relationships/hyperlink" Target="https://branitelji.gov.hr/zaposljavanje-843/843" TargetMode="External"/><Relationship Id="rId8"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